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5750F" w14:textId="78B732BC" w:rsidR="00C8752F" w:rsidRPr="00C8752F" w:rsidRDefault="00C8752F" w:rsidP="00C8752F">
      <w:pPr>
        <w:shd w:val="clear" w:color="auto" w:fill="FFFFFF"/>
        <w:outlineLvl w:val="0"/>
        <w:rPr>
          <w:rFonts w:ascii="Lato" w:eastAsia="Times New Roman" w:hAnsi="Lato" w:cs="Times New Roman"/>
          <w:color w:val="CC3300"/>
          <w:kern w:val="36"/>
          <w:sz w:val="36"/>
          <w:szCs w:val="36"/>
          <w:lang w:eastAsia="fr-FR"/>
        </w:rPr>
      </w:pPr>
      <w:r w:rsidRPr="00C8752F">
        <w:rPr>
          <w:rFonts w:ascii="Lato" w:eastAsia="Times New Roman" w:hAnsi="Lato" w:cs="Times New Roman"/>
          <w:color w:val="CC3300"/>
          <w:kern w:val="36"/>
          <w:sz w:val="36"/>
          <w:szCs w:val="36"/>
          <w:lang w:eastAsia="fr-FR"/>
        </w:rPr>
        <w:t>Nickel, lithium</w:t>
      </w:r>
      <w:r>
        <w:rPr>
          <w:rFonts w:ascii="Lato" w:eastAsia="Times New Roman" w:hAnsi="Lato" w:cs="Times New Roman"/>
          <w:color w:val="CC3300"/>
          <w:kern w:val="36"/>
          <w:sz w:val="36"/>
          <w:szCs w:val="36"/>
          <w:lang w:eastAsia="fr-FR"/>
        </w:rPr>
        <w:t>,</w:t>
      </w:r>
      <w:r w:rsidRPr="00C8752F">
        <w:rPr>
          <w:rFonts w:ascii="Lato" w:eastAsia="Times New Roman" w:hAnsi="Lato" w:cs="Times New Roman"/>
          <w:color w:val="CC3300"/>
          <w:kern w:val="36"/>
          <w:sz w:val="36"/>
          <w:szCs w:val="36"/>
          <w:lang w:eastAsia="fr-FR"/>
        </w:rPr>
        <w:t xml:space="preserve"> l’Europe doit accélérer la sécurisation de ses approvisionnements</w:t>
      </w:r>
    </w:p>
    <w:p w14:paraId="133B5774" w14:textId="77777777" w:rsidR="00C8752F" w:rsidRDefault="00C8752F" w:rsidP="00C8752F">
      <w:pPr>
        <w:shd w:val="clear" w:color="auto" w:fill="FFFFFF"/>
        <w:spacing w:before="75" w:after="75"/>
        <w:jc w:val="both"/>
        <w:rPr>
          <w:rFonts w:ascii="Lato" w:eastAsia="Times New Roman" w:hAnsi="Lato" w:cs="Times New Roman"/>
          <w:color w:val="3E001F"/>
          <w:sz w:val="30"/>
          <w:szCs w:val="30"/>
          <w:lang w:eastAsia="fr-FR"/>
        </w:rPr>
      </w:pPr>
    </w:p>
    <w:p w14:paraId="17A32BD3" w14:textId="4433D33B" w:rsidR="00C8752F" w:rsidRPr="00C8752F" w:rsidRDefault="00C8752F" w:rsidP="00C8752F">
      <w:pPr>
        <w:shd w:val="clear" w:color="auto" w:fill="FFFFFF"/>
        <w:spacing w:before="75" w:after="75"/>
        <w:jc w:val="both"/>
        <w:rPr>
          <w:rFonts w:ascii="Lato" w:eastAsia="Times New Roman" w:hAnsi="Lato" w:cs="Times New Roman"/>
          <w:color w:val="000000"/>
          <w:sz w:val="23"/>
          <w:szCs w:val="23"/>
          <w:lang w:eastAsia="fr-FR"/>
        </w:rPr>
      </w:pPr>
      <w:r w:rsidRPr="00C8752F">
        <w:rPr>
          <w:rFonts w:ascii="Lato" w:eastAsia="Times New Roman" w:hAnsi="Lato" w:cs="Times New Roman"/>
          <w:b/>
          <w:bCs/>
          <w:color w:val="000000"/>
          <w:sz w:val="23"/>
          <w:szCs w:val="23"/>
          <w:lang w:eastAsia="fr-FR"/>
        </w:rPr>
        <w:t>Le marché mondial dispose de suffisamment de nickel et de lithium pour produire 14 millions de véhicules électriques (VE) en 2023. L’Europe devrait donc sécuriser davantage de matières premières pour se détacher le plus rapidement possible du pétrole, conseille le groupe Transport &amp; Environnement (T&amp;E).</w:t>
      </w:r>
    </w:p>
    <w:p w14:paraId="69D4FC37" w14:textId="77777777" w:rsidR="00C8752F" w:rsidRPr="00C8752F" w:rsidRDefault="00C8752F" w:rsidP="00C8752F">
      <w:pPr>
        <w:shd w:val="clear" w:color="auto" w:fill="FFFFFF"/>
        <w:spacing w:before="75" w:after="75"/>
        <w:jc w:val="both"/>
        <w:rPr>
          <w:rFonts w:ascii="Lato" w:eastAsia="Times New Roman" w:hAnsi="Lato" w:cs="Times New Roman"/>
          <w:color w:val="000000"/>
          <w:sz w:val="23"/>
          <w:szCs w:val="23"/>
          <w:lang w:eastAsia="fr-FR"/>
        </w:rPr>
      </w:pPr>
      <w:r w:rsidRPr="00C8752F">
        <w:rPr>
          <w:rFonts w:ascii="Lato" w:eastAsia="Times New Roman" w:hAnsi="Lato" w:cs="Times New Roman"/>
          <w:color w:val="000000"/>
          <w:sz w:val="23"/>
          <w:szCs w:val="23"/>
          <w:lang w:eastAsia="fr-FR"/>
        </w:rPr>
        <w:t> </w:t>
      </w:r>
    </w:p>
    <w:p w14:paraId="2ADCBD86" w14:textId="77777777" w:rsidR="00C8752F" w:rsidRPr="00C8752F" w:rsidRDefault="00C8752F" w:rsidP="00C8752F">
      <w:pPr>
        <w:shd w:val="clear" w:color="auto" w:fill="FFFFFF"/>
        <w:spacing w:before="75" w:after="75"/>
        <w:jc w:val="both"/>
        <w:rPr>
          <w:rFonts w:ascii="Lato" w:eastAsia="Times New Roman" w:hAnsi="Lato" w:cs="Times New Roman"/>
          <w:color w:val="000000"/>
          <w:sz w:val="23"/>
          <w:szCs w:val="23"/>
          <w:lang w:eastAsia="fr-FR"/>
        </w:rPr>
      </w:pPr>
      <w:r w:rsidRPr="00C8752F">
        <w:rPr>
          <w:rFonts w:ascii="Lato" w:eastAsia="Times New Roman" w:hAnsi="Lato" w:cs="Times New Roman"/>
          <w:color w:val="000000"/>
          <w:sz w:val="23"/>
          <w:szCs w:val="23"/>
          <w:lang w:eastAsia="fr-FR"/>
        </w:rPr>
        <w:t xml:space="preserve">T&amp;E considère, au regard des données fournies par </w:t>
      </w:r>
      <w:proofErr w:type="spellStart"/>
      <w:r w:rsidRPr="00C8752F">
        <w:rPr>
          <w:rFonts w:ascii="Lato" w:eastAsia="Times New Roman" w:hAnsi="Lato" w:cs="Times New Roman"/>
          <w:color w:val="000000"/>
          <w:sz w:val="23"/>
          <w:szCs w:val="23"/>
          <w:lang w:eastAsia="fr-FR"/>
        </w:rPr>
        <w:t>BloombergNEF</w:t>
      </w:r>
      <w:proofErr w:type="spellEnd"/>
      <w:r w:rsidRPr="00C8752F">
        <w:rPr>
          <w:rFonts w:ascii="Lato" w:eastAsia="Times New Roman" w:hAnsi="Lato" w:cs="Times New Roman"/>
          <w:color w:val="000000"/>
          <w:sz w:val="23"/>
          <w:szCs w:val="23"/>
          <w:lang w:eastAsia="fr-FR"/>
        </w:rPr>
        <w:t xml:space="preserve"> sur les volumes maximum de nickel et de lithium de qualité batteries dont dispose le marché, que les constructeurs de VE ont assez de métaux pour produire 21 millions de VE en 2025. Le groupe précise que si l’on exclut le nickel russe, ce chiffre descend à 19 millions de VE.</w:t>
      </w:r>
    </w:p>
    <w:p w14:paraId="715F7499" w14:textId="77777777" w:rsidR="00C8752F" w:rsidRPr="00C8752F" w:rsidRDefault="00C8752F" w:rsidP="00C8752F">
      <w:pPr>
        <w:shd w:val="clear" w:color="auto" w:fill="FFFFFF"/>
        <w:spacing w:before="75" w:after="75"/>
        <w:jc w:val="both"/>
        <w:rPr>
          <w:rFonts w:ascii="Lato" w:eastAsia="Times New Roman" w:hAnsi="Lato" w:cs="Times New Roman"/>
          <w:color w:val="000000"/>
          <w:sz w:val="23"/>
          <w:szCs w:val="23"/>
          <w:lang w:eastAsia="fr-FR"/>
        </w:rPr>
      </w:pPr>
      <w:r w:rsidRPr="00C8752F">
        <w:rPr>
          <w:rFonts w:ascii="Lato" w:eastAsia="Times New Roman" w:hAnsi="Lato" w:cs="Times New Roman"/>
          <w:color w:val="000000"/>
          <w:sz w:val="23"/>
          <w:szCs w:val="23"/>
          <w:lang w:eastAsia="fr-FR"/>
        </w:rPr>
        <w:t>En 2021, les ventes mondiales de VE ont plus que doublé à 4,2 millions d’unités. Elles avaient totalisé 2 millions en 2020. Le cabinet de conseils LMC, spécialisé dans le secteur de l’automobile, prévoit une augmentation des ventes à 9 millions d’unités en 2023 et à 14,2 millions en 2025.</w:t>
      </w:r>
    </w:p>
    <w:p w14:paraId="76091740" w14:textId="77777777" w:rsidR="00C8752F" w:rsidRPr="00C8752F" w:rsidRDefault="00C8752F" w:rsidP="00C8752F">
      <w:pPr>
        <w:shd w:val="clear" w:color="auto" w:fill="FFFFFF"/>
        <w:spacing w:before="75" w:after="75"/>
        <w:jc w:val="both"/>
        <w:rPr>
          <w:rFonts w:ascii="Lato" w:eastAsia="Times New Roman" w:hAnsi="Lato" w:cs="Times New Roman"/>
          <w:color w:val="000000"/>
          <w:sz w:val="23"/>
          <w:szCs w:val="23"/>
          <w:lang w:eastAsia="fr-FR"/>
        </w:rPr>
      </w:pPr>
      <w:r w:rsidRPr="00C8752F">
        <w:rPr>
          <w:rFonts w:ascii="Lato" w:eastAsia="Times New Roman" w:hAnsi="Lato" w:cs="Times New Roman"/>
          <w:color w:val="000000"/>
          <w:sz w:val="23"/>
          <w:szCs w:val="23"/>
          <w:lang w:eastAsia="fr-FR"/>
        </w:rPr>
        <w:t>Les prix des matières premières utilisées dans le secteur des batteries de VE ont bondi en 2021. La progression se poursuit cette année : le nickel, par exemple, a renchéri de façon marquée en raison de la guerre en Ukraine.</w:t>
      </w:r>
    </w:p>
    <w:p w14:paraId="55CDF440" w14:textId="77777777" w:rsidR="00C8752F" w:rsidRPr="00C8752F" w:rsidRDefault="00C8752F" w:rsidP="00C8752F">
      <w:pPr>
        <w:shd w:val="clear" w:color="auto" w:fill="FFFFFF"/>
        <w:spacing w:before="75" w:after="75"/>
        <w:jc w:val="both"/>
        <w:rPr>
          <w:rFonts w:ascii="Lato" w:eastAsia="Times New Roman" w:hAnsi="Lato" w:cs="Times New Roman"/>
          <w:color w:val="000000"/>
          <w:sz w:val="23"/>
          <w:szCs w:val="23"/>
          <w:lang w:eastAsia="fr-FR"/>
        </w:rPr>
      </w:pPr>
      <w:r w:rsidRPr="00C8752F">
        <w:rPr>
          <w:rFonts w:ascii="Lato" w:eastAsia="Times New Roman" w:hAnsi="Lato" w:cs="Times New Roman"/>
          <w:color w:val="000000"/>
          <w:sz w:val="23"/>
          <w:szCs w:val="23"/>
          <w:lang w:eastAsia="fr-FR"/>
        </w:rPr>
        <w:t>A court terme, les approvisionnements seront ralentis par une pénurie de matières premières, compte tenu du fort développement du secteur des VE, mais cette pénurie pourrait être suivie par un excédent assez significatif, de nombreuses mines et usines de batteries sortant de terre.</w:t>
      </w:r>
    </w:p>
    <w:p w14:paraId="59201AC8" w14:textId="77777777" w:rsidR="00C8752F" w:rsidRPr="00C8752F" w:rsidRDefault="00C8752F" w:rsidP="00C8752F">
      <w:pPr>
        <w:shd w:val="clear" w:color="auto" w:fill="FFFFFF"/>
        <w:spacing w:before="75" w:after="75"/>
        <w:jc w:val="both"/>
        <w:rPr>
          <w:rFonts w:ascii="Lato" w:eastAsia="Times New Roman" w:hAnsi="Lato" w:cs="Times New Roman"/>
          <w:color w:val="000000"/>
          <w:sz w:val="23"/>
          <w:szCs w:val="23"/>
          <w:lang w:eastAsia="fr-FR"/>
        </w:rPr>
      </w:pPr>
      <w:r w:rsidRPr="00C8752F">
        <w:rPr>
          <w:rFonts w:ascii="Lato" w:eastAsia="Times New Roman" w:hAnsi="Lato" w:cs="Times New Roman"/>
          <w:color w:val="000000"/>
          <w:sz w:val="23"/>
          <w:szCs w:val="23"/>
          <w:lang w:eastAsia="fr-FR"/>
        </w:rPr>
        <w:t xml:space="preserve">T&amp;E rappelle que la course à l’approvisionnement a été rude ces derniers mois et que les </w:t>
      </w:r>
      <w:proofErr w:type="spellStart"/>
      <w:r w:rsidRPr="00C8752F">
        <w:rPr>
          <w:rFonts w:ascii="Lato" w:eastAsia="Times New Roman" w:hAnsi="Lato" w:cs="Times New Roman"/>
          <w:color w:val="000000"/>
          <w:sz w:val="23"/>
          <w:szCs w:val="23"/>
          <w:lang w:eastAsia="fr-FR"/>
        </w:rPr>
        <w:t>Etats-Unis</w:t>
      </w:r>
      <w:proofErr w:type="spellEnd"/>
      <w:r w:rsidRPr="00C8752F">
        <w:rPr>
          <w:rFonts w:ascii="Lato" w:eastAsia="Times New Roman" w:hAnsi="Lato" w:cs="Times New Roman"/>
          <w:color w:val="000000"/>
          <w:sz w:val="23"/>
          <w:szCs w:val="23"/>
          <w:lang w:eastAsia="fr-FR"/>
        </w:rPr>
        <w:t xml:space="preserve"> et la Chine ont œuvré pour sécuriser leur approvisionnement en matières premières. L’Europe doit en faire autant et doit pour cela créer une agence. « </w:t>
      </w:r>
      <w:r w:rsidRPr="00C8752F">
        <w:rPr>
          <w:rFonts w:ascii="Lato" w:eastAsia="Times New Roman" w:hAnsi="Lato" w:cs="Times New Roman"/>
          <w:i/>
          <w:iCs/>
          <w:color w:val="000000"/>
          <w:sz w:val="23"/>
          <w:szCs w:val="23"/>
          <w:lang w:eastAsia="fr-FR"/>
        </w:rPr>
        <w:t xml:space="preserve">Tandis que les </w:t>
      </w:r>
      <w:proofErr w:type="spellStart"/>
      <w:r w:rsidRPr="00C8752F">
        <w:rPr>
          <w:rFonts w:ascii="Lato" w:eastAsia="Times New Roman" w:hAnsi="Lato" w:cs="Times New Roman"/>
          <w:i/>
          <w:iCs/>
          <w:color w:val="000000"/>
          <w:sz w:val="23"/>
          <w:szCs w:val="23"/>
          <w:lang w:eastAsia="fr-FR"/>
        </w:rPr>
        <w:t>Etats-Unis</w:t>
      </w:r>
      <w:proofErr w:type="spellEnd"/>
      <w:r w:rsidRPr="00C8752F">
        <w:rPr>
          <w:rFonts w:ascii="Lato" w:eastAsia="Times New Roman" w:hAnsi="Lato" w:cs="Times New Roman"/>
          <w:i/>
          <w:iCs/>
          <w:color w:val="000000"/>
          <w:sz w:val="23"/>
          <w:szCs w:val="23"/>
          <w:lang w:eastAsia="fr-FR"/>
        </w:rPr>
        <w:t xml:space="preserve"> et la Chine renforcent leur stratégie de sécurisation de leur approvisionnement, l’Europe parcoure le globe pour trouver plus de pétrole</w:t>
      </w:r>
      <w:r w:rsidRPr="00C8752F">
        <w:rPr>
          <w:rFonts w:ascii="Lato" w:eastAsia="Times New Roman" w:hAnsi="Lato" w:cs="Times New Roman"/>
          <w:color w:val="000000"/>
          <w:sz w:val="23"/>
          <w:szCs w:val="23"/>
          <w:lang w:eastAsia="fr-FR"/>
        </w:rPr>
        <w:t xml:space="preserve"> », se désespère Julia </w:t>
      </w:r>
      <w:proofErr w:type="spellStart"/>
      <w:r w:rsidRPr="00C8752F">
        <w:rPr>
          <w:rFonts w:ascii="Lato" w:eastAsia="Times New Roman" w:hAnsi="Lato" w:cs="Times New Roman"/>
          <w:color w:val="000000"/>
          <w:sz w:val="23"/>
          <w:szCs w:val="23"/>
          <w:lang w:eastAsia="fr-FR"/>
        </w:rPr>
        <w:t>Poliscanova</w:t>
      </w:r>
      <w:proofErr w:type="spellEnd"/>
      <w:r w:rsidRPr="00C8752F">
        <w:rPr>
          <w:rFonts w:ascii="Lato" w:eastAsia="Times New Roman" w:hAnsi="Lato" w:cs="Times New Roman"/>
          <w:color w:val="000000"/>
          <w:sz w:val="23"/>
          <w:szCs w:val="23"/>
          <w:lang w:eastAsia="fr-FR"/>
        </w:rPr>
        <w:t>, directrice senior de T&amp;E. «</w:t>
      </w:r>
      <w:r w:rsidRPr="00C8752F">
        <w:rPr>
          <w:rFonts w:ascii="Lato" w:eastAsia="Times New Roman" w:hAnsi="Lato" w:cs="Times New Roman"/>
          <w:i/>
          <w:iCs/>
          <w:color w:val="000000"/>
          <w:sz w:val="23"/>
          <w:szCs w:val="23"/>
          <w:lang w:eastAsia="fr-FR"/>
        </w:rPr>
        <w:t> Il est grand temps de se concentrer sur l’approvisionnement dont le continent a besoin pour assurer son indépendance énergétique et s’assurer un avenir ‘vert’</w:t>
      </w:r>
      <w:r w:rsidRPr="00C8752F">
        <w:rPr>
          <w:rFonts w:ascii="Lato" w:eastAsia="Times New Roman" w:hAnsi="Lato" w:cs="Times New Roman"/>
          <w:color w:val="000000"/>
          <w:sz w:val="23"/>
          <w:szCs w:val="23"/>
          <w:lang w:eastAsia="fr-FR"/>
        </w:rPr>
        <w:t> ».</w:t>
      </w:r>
    </w:p>
    <w:p w14:paraId="49A22BD4" w14:textId="77777777" w:rsidR="000E1792" w:rsidRDefault="000E1792"/>
    <w:sectPr w:rsidR="000E1792"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2F"/>
    <w:rsid w:val="000E1792"/>
    <w:rsid w:val="000F156F"/>
    <w:rsid w:val="00C8752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93488DE"/>
  <w15:chartTrackingRefBased/>
  <w15:docId w15:val="{2504AD0D-4B4E-4E46-8D84-13F4E6F4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8752F"/>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8752F"/>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752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8752F"/>
    <w:rPr>
      <w:rFonts w:ascii="Times New Roman" w:eastAsia="Times New Roman" w:hAnsi="Times New Roman" w:cs="Times New Roman"/>
      <w:b/>
      <w:bCs/>
      <w:sz w:val="36"/>
      <w:szCs w:val="36"/>
      <w:lang w:eastAsia="fr-FR"/>
    </w:rPr>
  </w:style>
  <w:style w:type="paragraph" w:customStyle="1" w:styleId="infoarticle">
    <w:name w:val="info_article"/>
    <w:basedOn w:val="Normal"/>
    <w:rsid w:val="00C8752F"/>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C8752F"/>
    <w:rPr>
      <w:color w:val="0000FF"/>
      <w:u w:val="single"/>
    </w:rPr>
  </w:style>
  <w:style w:type="paragraph" w:styleId="NormalWeb">
    <w:name w:val="Normal (Web)"/>
    <w:basedOn w:val="Normal"/>
    <w:uiPriority w:val="99"/>
    <w:semiHidden/>
    <w:unhideWhenUsed/>
    <w:rsid w:val="00C8752F"/>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C8752F"/>
    <w:rPr>
      <w:b/>
      <w:bCs/>
    </w:rPr>
  </w:style>
  <w:style w:type="character" w:styleId="Accentuation">
    <w:name w:val="Emphasis"/>
    <w:basedOn w:val="Policepardfaut"/>
    <w:uiPriority w:val="20"/>
    <w:qFormat/>
    <w:rsid w:val="00C875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1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1835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2022-05-10T07:42:00Z</dcterms:created>
  <dcterms:modified xsi:type="dcterms:W3CDTF">2022-05-10T07:42:00Z</dcterms:modified>
</cp:coreProperties>
</file>